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120</w:t>
      </w:r>
    </w:p>
    <w:p>
      <w:r>
        <w:t>Bundesgericht (BGE), 1968-03-20, DE</w:t>
      </w:r>
    </w:p>
    <w:p>
      <w:r>
        <w:rPr>
          <w:b/>
        </w:rPr>
        <w:t xml:space="preserve">Quelle: </w:t>
      </w:r>
      <w:r>
        <w:t>https://mcp.opencaselaw.ch/entscheid/bge_94 I 120</w:t>
      </w:r>
    </w:p>
    <w:p>
      <w:r>
        <w:t>FR: ATF 94 I 120</w:t>
      </w:r>
    </w:p>
    <w:p>
      <w:r>
        <w:t>IT: DTF 94 I 120</w:t>
      </w:r>
    </w:p>
    <w:p>
      <w:pPr>
        <w:pStyle w:val="Heading2"/>
      </w:pPr>
      <w:r>
        <w:t>Regeste</w:t>
      </w:r>
    </w:p>
    <w:p>
      <w:r>
        <w:t>Regeste Volksinitiativrecht in Gemeindesachen. Eine Gemeindeinitiative darf dem Recht von Bund und Kantonen nicht widersprechen, nicht offensichtlich undurchführbar sein und ferner dem Grundsatz von Treu und Glauben nicht zuwiderlaufen.</w:t>
      </w:r>
    </w:p>
    <w:p>
      <w:pPr>
        <w:pStyle w:val="Heading2"/>
      </w:pPr>
      <w:r>
        <w:t>Erwägungen</w:t>
      </w:r>
    </w:p>
    <w:p>
      <w:r>
        <w:rPr>
          <w:b/>
        </w:rPr>
        <w:t>E. 1</w:t>
      </w:r>
    </w:p>
    <w:p>
      <w:r>
        <w:t>a) Dr. A. Schumacher erklärt die Beschwerde einzureichen "als Mitglied und in Übereinstimmung mit dem Überparteilichen neuen Initiativkomitee". Eine Vollmacht des Komitees liegt nicht bei den Akten. Unter diesen Umständen ist Dr. Schumacher persönlich als Beschwerdeführer zu betrachten. Er ist unbestrittenermassen in Zofingen stimmberechtigt und Mitglied des genannten Initiativkomitees. Das politische Stimmrecht, zu welchem auch das Initiativrecht gehört ( BGE 59 I 121 ff., BGE 88 I 251 , ZBl 67/1966 S. 35), gilt als vom Bundesrecht gewährleistetes verfassungsmässiges Recht ( BGE 89 I 443 , BGE 91 I 9 ). Ob es sich um eidgenössische, kantonale oder Gemeindeangelegenheiten handelt, macht dabei keinen Unterschied ( BGE 89 I 85 E. 1 mit Zitaten, ZBl 67/1966 S. 35 E. 2). Wurde die vorliegende Initiative II zu Unrecht ungültig erklärt, dann sind somit die politischen Rechte des Beschwerdeführers verletzt. Dieser ist demnach befugt, den regierungsrätlichen Entscheid mit einer Stimmrechtsbeschwerde gemäss Art. 85 lit. a OG anzufechten. b) Staatsrechtliche Beschwerden der vorliegenden Art sind rein kassatorischer Natur ( BGE 90 I 173 E. 1, BGE 92 I 353 E. 1). Auf die Beschwerdebegehren 2 und 3, mit welchen mehr verlangt wird, als die Aufhebung des angefochtenen Entscheides, kann deshalb nicht eingetreten werden.</w:t>
      </w:r>
    </w:p>
    <w:p>
      <w:r>
        <w:rPr>
          <w:b/>
        </w:rPr>
        <w:t>E. 2</w:t>
      </w:r>
    </w:p>
    <w:p>
      <w:r>
        <w:t>Bei Stimmrechtsbeschwerden nach Art. 85 lit. a OG prüft das Bundesgericht nicht nur die Auslegung des Bundesrechts und des kantonalen Verfassungsrechts frei, sondern auch diejenige anderer kantonaler Vorschriften, soweit sie das Stimmrecht nach Inhalt und Umfang näher normieren ( BGE 89 I 453 E. 3 mit Hinweisen, ZBl 67/1966 S. 35/6; BGE 92 I 355 E. 3; Urteil vom 7. Dezember 1966 i.S. Stäubli c. Regensdorf, nicht veröffentlichte Erw. 2; BGE 93 I 318 E. 4). Der Einwohnerrat von Zofingen hat die Initiative II wegen inhaltlicher Mängel ungültig erklärt, und der Regierungsrat schützte diesen Standpunkt. Der Beschwerdeführer vertritt die Auffassung, es sei ihm dadurch ein "wichtiges politisches Recht" vorenthalten worden. Streitig ist mithin der Umfang des Initiativrechts, so dass das Bundesgericht mit freier Kognition zu prüfen hat, ob die Initiative II zu Recht der Volksabstimmung entzogen wurde. BGE 94 I 120 S. 125</w:t>
      </w:r>
    </w:p>
    <w:p>
      <w:r>
        <w:rPr>
          <w:b/>
        </w:rPr>
        <w:t>E. 3</w:t>
      </w:r>
    </w:p>
    <w:p>
      <w:r>
        <w:t>Bei der Initiative II handelt es sich um eine sog. Verwaltungsinitiative. Sie verlangt, dass die Werkbauten des Bauamtes und der städtischen Werke auf der "Falkeisenmatte" sofort zurückgestellt und in Bezug auf Standort und Finanzbedarf neu überprüft werden sollten "bis zur Fertigstellung der Gesamtplanung für alle noch zu erstellenden Hochbauten der Stadt Zofingen". Der Regierungsrat hat die Initiative II nicht etwa mit der Begründung ungültig erklärt, sie sei nicht formrichtig zustandegekommen oder trage dem Grundsatz der Einheit der Materie keine Rechnung. Die kantonale Instanz hielt vielmehr dafür, ein Antrag, der auf Wiedererwägung rechtsgültig gefasster und nie mit Beschwerde angefochtener Gemeindeversammlungsbeschlüsse abziele, könne nach dem ganzen Sinn und Zweck einer Initiative nicht deren Gegenstand sein. Der Beschwerdeführer bestreitet nicht, dass die Initiative II auf Wiedererwägung des Beschlusses der Einwohnergemeinde vom 21. Januar 1965 gerichtet ist. Er macht aber geltend, die Initiative sei dennoch zulässig, weil das Gesetz ausdrücklich das Initiativrecht in Gemeindesachen weder beschränke noch eine Wiedererwägungsinitiative verbiete. Damit rügt der Beschwerdeführer dem Sinne nach, der angefochtene Beschluss des Regierungsrates verletze den § 12 GaOG, wonach ein Zehntel der Stimmbürger in Form einer allgemeinen Anregung oder eines ausgearbeiteten Entwurfs die Behandlung von Gegenständen verlangen können, die in die Zuständigkeit der Gemeinde oder des Einwohnerrates fallen. Einmal lässt der Wortlaut von § 12 GaOG zweifellos auch Verwaltungsinitiativen zu und zwar solche verschiedenster Art. Wie der Beschwerdeführer mit Recht bemerkt, schliesst der Gesetzestext sodann Initiativen, die auf Wiedererwägung rechtskräftiger Gemeindeversammlungsbeschlüsse gerichtet sind, ebenfalls nicht ausdrücklich aus. Die Initiative II betrifft zudem unbestrittenermassen einen Gegenstand, der in die Zuständigkeit "der Gemeinde oder des Einwohnerrates" fällt. Der Wortlaut der massgeblichen Gesetzesbestimmung steht somit der umstrittenen Initiative nicht entgegen. Dies allein kann jedoch nicht zum Schutz der Beschwerde führen. Um gültig zu sein, haben Initiativen nämlich noch weiteren Anforderungen zu genügen. Diese Erfordernisse brauchen im Gesetz nicht ausdrücklich erwähnt zu werden, weil sie sich aus BGE 94 I 120 S. 126 allgemeinen Rechtsgrundsätzen ergeben. In diesem Sinne hat das Bundesgericht erkannt, dass eine Initiative dem Recht von Bund und Kanton nicht widersprechen und nicht offensichtlich undurchführbar sein dürfe (vgl. BGE 92 I 359 /60 mit Hinweisen). Zu den genannten Rechtsgrundsätzen gehört ferner derjenige von Treu und Glauben (vgl. MERZ, Komm. zu Art. 2 ZGB N 72). Auch ihm soll eine Initiative nicht zuwiderlaufen. Sie darf deshalb insbesondere nicht rechtsmissbräuchlich sein. Trotz des Wortlautes von § 12 GaOG war der Regierungsrat mithin auch dann berechtigt, die Initiative II ungültig zu erklären, wenn sie einem der erwähnten Gebote widerspricht. Dies trifft indessen nicht zu.</w:t>
      </w:r>
    </w:p>
    <w:p>
      <w:r>
        <w:rPr>
          <w:b/>
        </w:rPr>
        <w:t>E. 4</w:t>
      </w:r>
    </w:p>
    <w:p>
      <w:r>
        <w:t>a) Dass der Inhalt der Initiative II dem Bundesrecht oder dem kantonalen Recht entgegenstehe, behauptet der Regierungsrat selber nicht. In der Tat läge ein solcher Widerspruch selbst dann nicht vor, wenn die Gemeinde gemäss dem Antrag der Initianten beschlösse, die begonnenen Neubauten sofort zurückzustellen, und sie sich hernach überdies für eine andere Lösung ausspräche. Freilich wäre die Gemeinde unter solchen Umständen verpflichtet, die Unternehmer für die von ihnen schon geleistete Arbeit zu bezahlen und sie wegen des Rücktrittes vom Vertrag schadlos zu halten. Das ändert jedoch nichts daran, dass der Rücktritt von Werkverträgen an sich zulässig ist ( Art. 377 OR ). b) Um die Frage nach der Durchführbarkeit beantworten zu können, ist auf den Zeitpunkt abzustellen, in dem die Initiative eingereicht wurde. Wohl waren damals beträchtliche Aufwendungen für die Planung gemacht und Ausführungsaufträge vergeben worden; zudem war der Aushub zu einem grossen Teil erstellt, und es wurde mit den Betonarbeiten begonnen. Das alles verunmöglichte es aber nicht, die angefangenen Bauten zurückzustellen und im Sinne der Initiative neu zu überprüfen. Von einer offensichtlichen Undurchführbarkeit kann unter solchen Umständen nicht gesprochen werden. Ob es sich dagegen im heutigen Zeitpunkt rechtfertige, die fraglichen Bauten, welche dem Vernehmen nach schon recht weit gediehen sind, einzustellen und dadurch bedeutende finanzielle Einbussen in Kauf zu nehmen, hat nicht das Bundesgericht, sondern der Stimmbürger zu entscheiden. c) Auch der Tatbestand des Rechtsmissbrauchs ist nicht erfüllt. Zwar scheint der Regierungsrat ein gewisses Gewicht BGE 94 I 120 S. 127 darauf zu legen, dass die Initianten den Gemeindeversammlungsbeschluss vom 21. Januar 1965, dessen Wiedererwägung sie unbestrittenermassen erreichen wollen, nicht mit Beschwerde angefochten haben. Zu einem solchen Vorgehen bestand aber damals kein Anlass: der Beschwerdeführer tut nämlich glaubhaft dar, dass die Tatsachen, welche nach Ansicht der Initianten eine Wiedererwägung jenes Beschlusses erfordern, diesen erst geraume Zeit nach Ablauf der Beschwerdefrist bekannt wurden. Ein widersprüchliches Verhalten kann den Unterzeichnern der umstrittenen Initiative deshalb nicht vorgeworfen werden.</w:t>
      </w:r>
    </w:p>
    <w:p>
      <w:r>
        <w:rPr>
          <w:b/>
        </w:rPr>
        <w:t>E. 5</w:t>
      </w:r>
    </w:p>
    <w:p>
      <w:r>
        <w:t>War aber der Regierungsrat nach dem Gesagten nicht berechtigt, die Initiative II ungültig zu erklären, dann verletzt sein Entscheid den § 12 GaOG und muss aufgehoben werden. Ob auch die weiteren in der Beschwerde enthaltenen Rügen begründet seien, kann bei diesem Ausgang unerörtert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